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AA2B16">
        <w:rPr>
          <w:rFonts w:ascii="Arial" w:eastAsia="Arial Unicode MS" w:hAnsi="Arial"/>
          <w:b/>
          <w:bCs/>
          <w:kern w:val="0"/>
          <w:sz w:val="28"/>
          <w:szCs w:val="28"/>
        </w:rPr>
        <w:t>6</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8335D0" w:rsidRPr="008335D0">
        <w:rPr>
          <w:rFonts w:ascii="Arial" w:eastAsia="Arial Unicode MS" w:hAnsi="Arial"/>
          <w:b/>
          <w:bCs/>
          <w:kern w:val="0"/>
          <w:sz w:val="28"/>
          <w:szCs w:val="28"/>
          <w:lang w:eastAsia="en-US"/>
        </w:rPr>
        <w:t>R2-</w:t>
      </w:r>
      <w:bookmarkStart w:id="1" w:name="_GoBack"/>
      <w:bookmarkEnd w:id="1"/>
      <w:r w:rsidR="008335D0" w:rsidRPr="008335D0">
        <w:rPr>
          <w:rFonts w:ascii="Arial" w:eastAsia="Arial Unicode MS" w:hAnsi="Arial"/>
          <w:b/>
          <w:bCs/>
          <w:kern w:val="0"/>
          <w:sz w:val="28"/>
          <w:szCs w:val="28"/>
          <w:lang w:eastAsia="en-US"/>
        </w:rPr>
        <w:t>2110660</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AA2B16">
        <w:rPr>
          <w:rFonts w:ascii="Arial" w:eastAsia="Arial Unicode MS" w:hAnsi="Arial"/>
          <w:b/>
          <w:bCs/>
          <w:kern w:val="0"/>
          <w:sz w:val="24"/>
          <w:szCs w:val="20"/>
        </w:rPr>
        <w:t>1</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AA2B16">
        <w:rPr>
          <w:rFonts w:ascii="Arial" w:eastAsia="Arial Unicode MS" w:hAnsi="Arial"/>
          <w:b/>
          <w:bCs/>
          <w:kern w:val="0"/>
          <w:sz w:val="24"/>
          <w:szCs w:val="20"/>
        </w:rPr>
        <w:t>12</w:t>
      </w:r>
      <w:r w:rsidR="00EB0333">
        <w:rPr>
          <w:rFonts w:ascii="Arial" w:eastAsia="Arial Unicode MS" w:hAnsi="Arial"/>
          <w:b/>
          <w:bCs/>
          <w:kern w:val="0"/>
          <w:sz w:val="24"/>
          <w:szCs w:val="20"/>
        </w:rPr>
        <w:t xml:space="preserve"> </w:t>
      </w:r>
      <w:r w:rsidR="00AA2B16">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C33CA" w:rsidRPr="008C33CA">
        <w:rPr>
          <w:rFonts w:ascii="Arial" w:eastAsia="Arial Unicode MS" w:hAnsi="Arial" w:cs="Arial"/>
          <w:b/>
          <w:bCs/>
          <w:kern w:val="0"/>
          <w:sz w:val="24"/>
          <w:szCs w:val="20"/>
        </w:rPr>
        <w:t>8.2.2.2</w:t>
      </w:r>
      <w:r w:rsidR="008C33CA" w:rsidRPr="008C33CA">
        <w:rPr>
          <w:rFonts w:ascii="Arial" w:eastAsia="Arial Unicode MS" w:hAnsi="Arial" w:cs="Arial"/>
          <w:b/>
          <w:bCs/>
          <w:kern w:val="0"/>
          <w:sz w:val="24"/>
          <w:szCs w:val="20"/>
        </w:rPr>
        <w:tab/>
        <w:t>UE measurements and reporting in deactivated SCG</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0333B">
        <w:rPr>
          <w:rFonts w:ascii="Arial" w:eastAsia="Arial Unicode MS" w:hAnsi="Arial" w:cs="Arial"/>
          <w:b/>
          <w:bCs/>
          <w:kern w:val="0"/>
          <w:sz w:val="24"/>
          <w:szCs w:val="20"/>
        </w:rPr>
        <w:t>Measurements when configured with RACH-less activation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82F1A" w:rsidRPr="002C6C08" w:rsidRDefault="00B82F1A" w:rsidP="003E16F6">
      <w:pPr>
        <w:widowControl/>
        <w:rPr>
          <w:rFonts w:ascii="Arial" w:eastAsia="Arial Unicode MS" w:hAnsi="Arial"/>
          <w:kern w:val="0"/>
          <w:sz w:val="20"/>
          <w:szCs w:val="20"/>
        </w:rPr>
      </w:pPr>
      <w:r>
        <w:rPr>
          <w:rFonts w:ascii="Arial" w:eastAsia="Arial Unicode MS" w:hAnsi="Arial"/>
          <w:kern w:val="0"/>
          <w:sz w:val="20"/>
          <w:szCs w:val="20"/>
        </w:rPr>
        <w:t>In RAN2#115e, it was agreed to support RACH-less SCG activation, where the UE performs the RLM and BFD on PSCell in the deactivated SCG</w:t>
      </w:r>
      <w:r w:rsidR="00A13EC8">
        <w:rPr>
          <w:rFonts w:ascii="Arial" w:eastAsia="Arial Unicode MS" w:hAnsi="Arial"/>
          <w:kern w:val="0"/>
          <w:sz w:val="20"/>
          <w:szCs w:val="20"/>
        </w:rPr>
        <w:t xml:space="preserve"> [1]</w:t>
      </w:r>
      <w:r>
        <w:rPr>
          <w:rFonts w:ascii="Arial" w:eastAsia="Arial Unicode MS" w:hAnsi="Arial"/>
          <w:kern w:val="0"/>
          <w:sz w:val="20"/>
          <w:szCs w:val="20"/>
        </w:rPr>
        <w:t>.</w:t>
      </w:r>
    </w:p>
    <w:p w:rsidR="003E16F6" w:rsidRDefault="003E16F6" w:rsidP="003E16F6">
      <w:pPr>
        <w:widowControl/>
        <w:rPr>
          <w:rFonts w:ascii="Arial" w:hAnsi="Arial"/>
          <w:kern w:val="0"/>
          <w:sz w:val="20"/>
          <w:szCs w:val="20"/>
        </w:rPr>
      </w:pPr>
    </w:p>
    <w:p w:rsidR="00A13EC8" w:rsidRPr="00A13EC8" w:rsidRDefault="00A13EC8" w:rsidP="00A13EC8">
      <w:pPr>
        <w:pStyle w:val="Agreement"/>
      </w:pPr>
      <w:r w:rsidRPr="00A13EC8">
        <w:t>We will support RACHless SCG activation in Rel-17</w:t>
      </w:r>
    </w:p>
    <w:p w:rsidR="00B82F1A" w:rsidRPr="00B82F1A" w:rsidRDefault="00B82F1A" w:rsidP="00B82F1A">
      <w:pPr>
        <w:pStyle w:val="Agreement"/>
      </w:pPr>
      <w:r w:rsidRPr="00B82F1A">
        <w:t xml:space="preserve">3: 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rsidR="00B82F1A" w:rsidRPr="00A46EBC" w:rsidRDefault="00B82F1A" w:rsidP="00B82F1A">
      <w:pPr>
        <w:pStyle w:val="Agreement"/>
        <w:rPr>
          <w:highlight w:val="yellow"/>
        </w:rPr>
      </w:pPr>
      <w:r w:rsidRPr="00A46EBC">
        <w:rPr>
          <w:highlight w:val="yellow"/>
        </w:rPr>
        <w:t>4: The UE performs RLM and BFD on PSCell while the SCG is deactivated if network configures it.</w:t>
      </w:r>
    </w:p>
    <w:p w:rsidR="00B82F1A" w:rsidRDefault="00B82F1A" w:rsidP="003E16F6">
      <w:pPr>
        <w:widowControl/>
        <w:rPr>
          <w:rFonts w:ascii="Arial" w:hAnsi="Arial"/>
          <w:kern w:val="0"/>
          <w:sz w:val="20"/>
          <w:szCs w:val="20"/>
        </w:rPr>
      </w:pPr>
    </w:p>
    <w:p w:rsidR="00A46EBC" w:rsidRPr="00B82F1A" w:rsidRDefault="00A46EBC" w:rsidP="003E16F6">
      <w:pPr>
        <w:widowControl/>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n this contribution we discuss </w:t>
      </w:r>
      <w:r w:rsidR="00F13FD0">
        <w:rPr>
          <w:rFonts w:ascii="Arial" w:hAnsi="Arial"/>
          <w:kern w:val="0"/>
          <w:sz w:val="20"/>
          <w:szCs w:val="20"/>
        </w:rPr>
        <w:t xml:space="preserve">some open issues </w:t>
      </w:r>
      <w:r>
        <w:rPr>
          <w:rFonts w:ascii="Arial" w:hAnsi="Arial"/>
          <w:kern w:val="0"/>
          <w:sz w:val="20"/>
          <w:szCs w:val="20"/>
        </w:rPr>
        <w:t>when RACH-less SCG activation is configured by the network.</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775A89">
        <w:rPr>
          <w:rFonts w:ascii="Arial" w:hAnsi="Arial"/>
          <w:kern w:val="0"/>
          <w:sz w:val="28"/>
          <w:szCs w:val="20"/>
        </w:rPr>
        <w:t>RLM</w:t>
      </w:r>
      <w:r w:rsidR="00C5217D">
        <w:rPr>
          <w:rFonts w:ascii="Arial" w:hAnsi="Arial"/>
          <w:kern w:val="0"/>
          <w:sz w:val="28"/>
          <w:szCs w:val="20"/>
        </w:rPr>
        <w:t xml:space="preserve"> measurements</w:t>
      </w:r>
    </w:p>
    <w:p w:rsidR="008823ED" w:rsidRPr="002C6C08" w:rsidRDefault="008823ED" w:rsidP="003E16F6">
      <w:pPr>
        <w:widowControl/>
        <w:spacing w:after="120" w:line="240" w:lineRule="atLeast"/>
        <w:rPr>
          <w:rFonts w:ascii="Arial" w:hAnsi="Arial"/>
          <w:kern w:val="0"/>
          <w:sz w:val="20"/>
          <w:szCs w:val="20"/>
        </w:rPr>
      </w:pPr>
      <w:r>
        <w:rPr>
          <w:rFonts w:ascii="Arial" w:hAnsi="Arial"/>
          <w:kern w:val="0"/>
          <w:sz w:val="20"/>
          <w:szCs w:val="20"/>
        </w:rPr>
        <w:t>T</w:t>
      </w:r>
      <w:r w:rsidR="00504ABD">
        <w:rPr>
          <w:rFonts w:ascii="Arial" w:hAnsi="Arial"/>
          <w:kern w:val="0"/>
          <w:sz w:val="20"/>
          <w:szCs w:val="20"/>
        </w:rPr>
        <w:t xml:space="preserve">he previous agreements </w:t>
      </w:r>
      <w:r>
        <w:rPr>
          <w:rFonts w:ascii="Arial" w:hAnsi="Arial"/>
          <w:kern w:val="0"/>
          <w:sz w:val="20"/>
          <w:szCs w:val="20"/>
        </w:rPr>
        <w:t xml:space="preserve">is that </w:t>
      </w:r>
      <w:r w:rsidR="00731263">
        <w:rPr>
          <w:rFonts w:ascii="Arial" w:hAnsi="Arial"/>
          <w:kern w:val="0"/>
          <w:sz w:val="20"/>
          <w:szCs w:val="20"/>
        </w:rPr>
        <w:t>if the network allows the UE to perform the RACH-less activation, the network configures the UE to do so. Upon receiving such configuration, the UE starts performing the RL</w:t>
      </w:r>
      <w:r w:rsidR="00D840BE">
        <w:rPr>
          <w:rFonts w:ascii="Arial" w:hAnsi="Arial"/>
          <w:kern w:val="0"/>
          <w:sz w:val="20"/>
          <w:szCs w:val="20"/>
        </w:rPr>
        <w:t>M</w:t>
      </w:r>
      <w:r w:rsidR="00731263">
        <w:rPr>
          <w:rFonts w:ascii="Arial" w:hAnsi="Arial"/>
          <w:kern w:val="0"/>
          <w:sz w:val="20"/>
          <w:szCs w:val="20"/>
        </w:rPr>
        <w:t xml:space="preserve"> and BFD on PSCell while the SCG is deactivated.</w:t>
      </w:r>
      <w:r w:rsidR="00B66267">
        <w:rPr>
          <w:rFonts w:ascii="Arial" w:hAnsi="Arial"/>
          <w:kern w:val="0"/>
          <w:sz w:val="20"/>
          <w:szCs w:val="20"/>
        </w:rPr>
        <w:t xml:space="preserve"> </w:t>
      </w:r>
      <w:r>
        <w:rPr>
          <w:rFonts w:ascii="Arial" w:hAnsi="Arial"/>
          <w:kern w:val="0"/>
          <w:sz w:val="20"/>
          <w:szCs w:val="20"/>
        </w:rPr>
        <w:t xml:space="preserve">According to the discussions in the last RAN2#115e, </w:t>
      </w:r>
      <w:r w:rsidR="00F5142F">
        <w:rPr>
          <w:rFonts w:ascii="Arial" w:hAnsi="Arial"/>
          <w:kern w:val="0"/>
          <w:sz w:val="20"/>
          <w:szCs w:val="20"/>
        </w:rPr>
        <w:t>the RLM and BFD in deactivated SCG is only for the RACH-less activation purpose</w:t>
      </w:r>
      <w:r w:rsidR="008362F6">
        <w:rPr>
          <w:rFonts w:ascii="Arial" w:hAnsi="Arial"/>
          <w:kern w:val="0"/>
          <w:sz w:val="20"/>
          <w:szCs w:val="20"/>
        </w:rPr>
        <w:t xml:space="preserve"> at least so far. </w:t>
      </w:r>
    </w:p>
    <w:p w:rsidR="003E16F6" w:rsidRPr="008A4CB0" w:rsidRDefault="00B66267" w:rsidP="003E16F6">
      <w:pPr>
        <w:widowControl/>
        <w:spacing w:after="120" w:line="240" w:lineRule="atLeast"/>
        <w:rPr>
          <w:rFonts w:ascii="Arial" w:hAnsi="Arial"/>
          <w:i/>
          <w:kern w:val="0"/>
          <w:sz w:val="20"/>
          <w:szCs w:val="20"/>
        </w:rPr>
      </w:pPr>
      <w:r w:rsidRPr="008A4CB0">
        <w:rPr>
          <w:rFonts w:ascii="Arial" w:hAnsi="Arial"/>
          <w:b/>
          <w:i/>
          <w:kern w:val="0"/>
          <w:sz w:val="20"/>
          <w:szCs w:val="20"/>
        </w:rPr>
        <w:t>Observation 1.</w:t>
      </w:r>
      <w:r w:rsidRPr="008A4CB0">
        <w:rPr>
          <w:rFonts w:ascii="Arial" w:hAnsi="Arial"/>
          <w:i/>
          <w:kern w:val="0"/>
          <w:sz w:val="20"/>
          <w:szCs w:val="20"/>
        </w:rPr>
        <w:t xml:space="preserve"> RLM/BFD on PSCell while the SCG is deactivated is only for RACH-less activation purpose.</w:t>
      </w:r>
    </w:p>
    <w:p w:rsidR="00B66267" w:rsidRDefault="00B66267" w:rsidP="003E16F6">
      <w:pPr>
        <w:widowControl/>
        <w:spacing w:after="120" w:line="240" w:lineRule="atLeast"/>
        <w:rPr>
          <w:rFonts w:ascii="Arial" w:hAnsi="Arial"/>
          <w:kern w:val="0"/>
          <w:sz w:val="20"/>
          <w:szCs w:val="20"/>
        </w:rPr>
      </w:pPr>
    </w:p>
    <w:p w:rsidR="00B66267" w:rsidRDefault="00B66267" w:rsidP="003E16F6">
      <w:pPr>
        <w:widowControl/>
        <w:spacing w:after="120" w:line="240" w:lineRule="atLeast"/>
        <w:rPr>
          <w:rFonts w:ascii="Arial" w:hAnsi="Arial"/>
          <w:kern w:val="0"/>
          <w:sz w:val="20"/>
          <w:szCs w:val="20"/>
        </w:rPr>
      </w:pPr>
      <w:r>
        <w:rPr>
          <w:rFonts w:ascii="Arial" w:hAnsi="Arial"/>
          <w:kern w:val="0"/>
          <w:sz w:val="20"/>
          <w:szCs w:val="20"/>
        </w:rPr>
        <w:t xml:space="preserve">Given the UE is configured with RACH-less activation (i.e. it is allowed), the UE performs the RLM and BFD. Note that </w:t>
      </w:r>
      <w:r w:rsidR="00601B16">
        <w:rPr>
          <w:rFonts w:ascii="Arial" w:hAnsi="Arial"/>
          <w:kern w:val="0"/>
          <w:sz w:val="20"/>
          <w:szCs w:val="20"/>
        </w:rPr>
        <w:t xml:space="preserve">as </w:t>
      </w:r>
      <w:r>
        <w:rPr>
          <w:rFonts w:ascii="Arial" w:hAnsi="Arial"/>
          <w:kern w:val="0"/>
          <w:sz w:val="20"/>
          <w:szCs w:val="20"/>
        </w:rPr>
        <w:t xml:space="preserve">the BFD is more RAN1 scope, we discuss the RLM in the following. Generally speaking, the measurements for RLM is more frequent than that for RRM. Even though the SCG is deactivated, the RLM would need frequent </w:t>
      </w:r>
      <w:r w:rsidR="00601B16">
        <w:rPr>
          <w:rFonts w:ascii="Arial" w:hAnsi="Arial"/>
          <w:kern w:val="0"/>
          <w:sz w:val="20"/>
          <w:szCs w:val="20"/>
        </w:rPr>
        <w:t>measurements to some extent.</w:t>
      </w:r>
      <w:r w:rsidR="00232874">
        <w:rPr>
          <w:rFonts w:ascii="Arial" w:hAnsi="Arial"/>
          <w:kern w:val="0"/>
          <w:sz w:val="20"/>
          <w:szCs w:val="20"/>
        </w:rPr>
        <w:t xml:space="preserve"> A question is whether (and how much) relaxation can be considered considering that the SCG is deactivated</w:t>
      </w:r>
      <w:r w:rsidR="005504EF">
        <w:rPr>
          <w:rFonts w:ascii="Arial" w:hAnsi="Arial"/>
          <w:kern w:val="0"/>
          <w:sz w:val="20"/>
          <w:szCs w:val="20"/>
        </w:rPr>
        <w:t xml:space="preserve"> (i.e. no real activity there).</w:t>
      </w:r>
    </w:p>
    <w:p w:rsidR="00417F42" w:rsidRPr="002C6C08" w:rsidRDefault="00417F42" w:rsidP="00417F4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discuss how frequent measurements are necessary for RLM for deactivated SCG. If necessary, RAN</w:t>
      </w:r>
      <w:r w:rsidR="00D737C5">
        <w:rPr>
          <w:rFonts w:ascii="Arial" w:hAnsi="Arial"/>
          <w:b/>
          <w:kern w:val="0"/>
          <w:sz w:val="20"/>
          <w:szCs w:val="20"/>
        </w:rPr>
        <w:t>2</w:t>
      </w:r>
      <w:r>
        <w:rPr>
          <w:rFonts w:ascii="Arial" w:hAnsi="Arial"/>
          <w:b/>
          <w:kern w:val="0"/>
          <w:sz w:val="20"/>
          <w:szCs w:val="20"/>
        </w:rPr>
        <w:t xml:space="preserve"> should</w:t>
      </w:r>
      <w:r w:rsidR="00D737C5">
        <w:rPr>
          <w:rFonts w:ascii="Arial" w:hAnsi="Arial"/>
          <w:b/>
          <w:kern w:val="0"/>
          <w:sz w:val="20"/>
          <w:szCs w:val="20"/>
        </w:rPr>
        <w:t xml:space="preserve"> consult with RAN4</w:t>
      </w:r>
      <w:r>
        <w:rPr>
          <w:rFonts w:ascii="Arial" w:hAnsi="Arial"/>
          <w:b/>
          <w:kern w:val="0"/>
          <w:sz w:val="20"/>
          <w:szCs w:val="20"/>
        </w:rPr>
        <w:t>.</w:t>
      </w:r>
    </w:p>
    <w:p w:rsidR="00B66267" w:rsidRDefault="00B66267" w:rsidP="003E16F6">
      <w:pPr>
        <w:widowControl/>
        <w:spacing w:after="120" w:line="240" w:lineRule="atLeast"/>
        <w:rPr>
          <w:rFonts w:ascii="Arial" w:hAnsi="Arial"/>
          <w:kern w:val="0"/>
          <w:sz w:val="20"/>
          <w:szCs w:val="20"/>
        </w:rPr>
      </w:pPr>
    </w:p>
    <w:p w:rsidR="000706C7" w:rsidRPr="002C6C08" w:rsidRDefault="000706C7" w:rsidP="000706C7">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A47C94">
        <w:rPr>
          <w:rFonts w:ascii="Arial" w:hAnsi="Arial"/>
          <w:kern w:val="0"/>
          <w:sz w:val="28"/>
          <w:szCs w:val="20"/>
        </w:rPr>
        <w:t>SCG failure information for deactivated SCG</w:t>
      </w:r>
    </w:p>
    <w:p w:rsidR="00B66267" w:rsidRDefault="00980AFD"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nother issue is the action when the UE detects the failure on PSCell while the SCG is deactivated. </w:t>
      </w:r>
      <w:r w:rsidR="0049495A">
        <w:rPr>
          <w:rFonts w:ascii="Arial" w:hAnsi="Arial"/>
          <w:kern w:val="0"/>
          <w:sz w:val="20"/>
          <w:szCs w:val="20"/>
        </w:rPr>
        <w:t>In MR-DC, the UE reports the SCG failure via MCG when it is detected.</w:t>
      </w:r>
      <w:r w:rsidR="005147A4">
        <w:rPr>
          <w:rFonts w:ascii="Arial" w:hAnsi="Arial"/>
          <w:kern w:val="0"/>
          <w:sz w:val="20"/>
          <w:szCs w:val="20"/>
        </w:rPr>
        <w:t xml:space="preserve"> </w:t>
      </w:r>
      <w:r w:rsidR="007479D9">
        <w:rPr>
          <w:rFonts w:ascii="Arial" w:hAnsi="Arial"/>
          <w:kern w:val="0"/>
          <w:sz w:val="20"/>
          <w:szCs w:val="20"/>
        </w:rPr>
        <w:t>With this information, t</w:t>
      </w:r>
      <w:r w:rsidR="005147A4">
        <w:rPr>
          <w:rFonts w:ascii="Arial" w:hAnsi="Arial"/>
          <w:kern w:val="0"/>
          <w:sz w:val="20"/>
          <w:szCs w:val="20"/>
        </w:rPr>
        <w:t>he MN can decide either SN/SCG release</w:t>
      </w:r>
      <w:r w:rsidR="00A27DB9">
        <w:rPr>
          <w:rFonts w:ascii="Arial" w:hAnsi="Arial"/>
          <w:kern w:val="0"/>
          <w:sz w:val="20"/>
          <w:szCs w:val="20"/>
        </w:rPr>
        <w:t xml:space="preserve"> or reconfiguration</w:t>
      </w:r>
      <w:r w:rsidR="005147A4">
        <w:rPr>
          <w:rFonts w:ascii="Arial" w:hAnsi="Arial"/>
          <w:kern w:val="0"/>
          <w:sz w:val="20"/>
          <w:szCs w:val="20"/>
        </w:rPr>
        <w:t>.</w:t>
      </w:r>
      <w:r w:rsidR="0049495A">
        <w:rPr>
          <w:rFonts w:ascii="Arial" w:hAnsi="Arial"/>
          <w:kern w:val="0"/>
          <w:sz w:val="20"/>
          <w:szCs w:val="20"/>
        </w:rPr>
        <w:t xml:space="preserve"> A question is whether the UE should report the SCG failure via MCG even though the SCG </w:t>
      </w:r>
      <w:r w:rsidR="00AF7C73">
        <w:rPr>
          <w:rFonts w:ascii="Arial" w:hAnsi="Arial"/>
          <w:kern w:val="0"/>
          <w:sz w:val="20"/>
          <w:szCs w:val="20"/>
        </w:rPr>
        <w:t>is deactivated.</w:t>
      </w:r>
    </w:p>
    <w:p w:rsidR="00B66267" w:rsidRDefault="00BC74D7" w:rsidP="003E16F6">
      <w:pPr>
        <w:widowControl/>
        <w:spacing w:after="120" w:line="240" w:lineRule="atLeast"/>
        <w:rPr>
          <w:rFonts w:ascii="Arial" w:hAnsi="Arial"/>
          <w:kern w:val="0"/>
          <w:sz w:val="20"/>
          <w:szCs w:val="20"/>
        </w:rPr>
      </w:pPr>
      <w:r>
        <w:rPr>
          <w:rFonts w:ascii="Arial" w:hAnsi="Arial"/>
          <w:kern w:val="0"/>
          <w:sz w:val="20"/>
          <w:szCs w:val="20"/>
        </w:rPr>
        <w:t xml:space="preserve">There can be discussions </w:t>
      </w:r>
      <w:r w:rsidR="00C4146E">
        <w:rPr>
          <w:rFonts w:ascii="Arial" w:hAnsi="Arial"/>
          <w:kern w:val="0"/>
          <w:sz w:val="20"/>
          <w:szCs w:val="20"/>
        </w:rPr>
        <w:t xml:space="preserve">similar </w:t>
      </w:r>
      <w:r>
        <w:rPr>
          <w:rFonts w:ascii="Arial" w:hAnsi="Arial"/>
          <w:kern w:val="0"/>
          <w:sz w:val="20"/>
          <w:szCs w:val="20"/>
        </w:rPr>
        <w:t xml:space="preserve">to RLM measurements. </w:t>
      </w:r>
      <w:r w:rsidR="00C4146E">
        <w:rPr>
          <w:rFonts w:ascii="Arial" w:hAnsi="Arial"/>
          <w:kern w:val="0"/>
          <w:sz w:val="20"/>
          <w:szCs w:val="20"/>
        </w:rPr>
        <w:t xml:space="preserve">Unlike legacy MR-DC, the SCG is deactivated and there is no real activity in the SCG. In addition, the MN and the SN can keep the measurement configurations for the SCG as agreed earlier and the UE can send the measurement reports according to those measurement </w:t>
      </w:r>
      <w:r w:rsidR="00C4146E">
        <w:rPr>
          <w:rFonts w:ascii="Arial" w:hAnsi="Arial"/>
          <w:kern w:val="0"/>
          <w:sz w:val="20"/>
          <w:szCs w:val="20"/>
        </w:rPr>
        <w:lastRenderedPageBreak/>
        <w:t>configurations.</w:t>
      </w:r>
      <w:r w:rsidR="006A48BF">
        <w:rPr>
          <w:rFonts w:ascii="Arial" w:hAnsi="Arial"/>
          <w:kern w:val="0"/>
          <w:sz w:val="20"/>
          <w:szCs w:val="20"/>
        </w:rPr>
        <w:t xml:space="preserve"> There may be some RRM measurement reports triggered when the PSC</w:t>
      </w:r>
      <w:r w:rsidR="00AE5D8F">
        <w:rPr>
          <w:rFonts w:ascii="Arial" w:hAnsi="Arial"/>
          <w:kern w:val="0"/>
          <w:sz w:val="20"/>
          <w:szCs w:val="20"/>
        </w:rPr>
        <w:t>ell radio quality becomes worse. Then, the MN or SN may detect the need of PSCell change (i.e. PSCell mobility while the SCG is deactivated).</w:t>
      </w:r>
      <w:r w:rsidR="0012039D">
        <w:rPr>
          <w:rFonts w:ascii="Arial" w:hAnsi="Arial"/>
          <w:kern w:val="0"/>
          <w:sz w:val="20"/>
          <w:szCs w:val="20"/>
        </w:rPr>
        <w:t xml:space="preserve"> The SCG failure information may not be so necessary, as it is anyway only when the UE is configured with the RACH-less activation.</w:t>
      </w:r>
    </w:p>
    <w:p w:rsidR="00EC1DDA" w:rsidRPr="002C6C08" w:rsidRDefault="0012039D" w:rsidP="003E16F6">
      <w:pPr>
        <w:widowControl/>
        <w:spacing w:after="120" w:line="240" w:lineRule="atLeast"/>
        <w:rPr>
          <w:rFonts w:ascii="Arial" w:hAnsi="Arial"/>
          <w:kern w:val="0"/>
          <w:sz w:val="20"/>
          <w:szCs w:val="20"/>
        </w:rPr>
      </w:pPr>
      <w:r>
        <w:rPr>
          <w:rFonts w:ascii="Arial" w:hAnsi="Arial" w:hint="eastAsia"/>
          <w:kern w:val="0"/>
          <w:sz w:val="20"/>
          <w:szCs w:val="20"/>
        </w:rPr>
        <w:t>H</w:t>
      </w:r>
      <w:r>
        <w:rPr>
          <w:rFonts w:ascii="Arial" w:hAnsi="Arial"/>
          <w:kern w:val="0"/>
          <w:sz w:val="20"/>
          <w:szCs w:val="20"/>
        </w:rPr>
        <w:t>aving observed that, the mechanism is already available and the UE will not need any specific action for sending the SCG failure information. Depending on the conclusion for the P1 (i.e. frequency or relaxation of RLM measurements), the SCG failure information may not be so useful compared to RRM measurement reporting. We guess that there might not been much relaxation expected so that the function can work well whenever the SCG activation is triggered by the network. Therefore, it would be preferable to send the SCG failure information when the UE detects it for deactivated SCG.</w:t>
      </w:r>
    </w:p>
    <w:p w:rsidR="003E16F6" w:rsidRPr="002C6C08" w:rsidRDefault="000843D9"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B4A1A">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If the network configures the UE to perform RLM and BFD for RACH-less activation purpose and the UE detects the SCG failure in deactivated SCG, the UE should report the SCG failure information via MCG.</w:t>
      </w:r>
    </w:p>
    <w:p w:rsidR="00D23DAF" w:rsidRPr="002C6C08" w:rsidRDefault="00D23DAF"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DA7F92">
        <w:rPr>
          <w:rFonts w:ascii="Arial" w:hAnsi="Arial"/>
          <w:kern w:val="0"/>
          <w:sz w:val="20"/>
          <w:szCs w:val="20"/>
        </w:rPr>
        <w:t>some open issues when RACH-less SCG activation is configured by the network</w:t>
      </w:r>
      <w:r w:rsidR="00B82082">
        <w:rPr>
          <w:rFonts w:ascii="Arial" w:hAnsi="Arial"/>
          <w:kern w:val="0"/>
          <w:sz w:val="20"/>
          <w:szCs w:val="20"/>
        </w:rPr>
        <w:t xml:space="preserve"> and made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536E9E" w:rsidRPr="00E77842" w:rsidRDefault="00536E9E" w:rsidP="00536E9E">
      <w:pPr>
        <w:widowControl/>
        <w:spacing w:after="120" w:line="240" w:lineRule="atLeast"/>
        <w:rPr>
          <w:rFonts w:ascii="Arial" w:hAnsi="Arial"/>
          <w:i/>
          <w:kern w:val="0"/>
          <w:sz w:val="20"/>
          <w:szCs w:val="20"/>
        </w:rPr>
      </w:pPr>
      <w:r w:rsidRPr="00E77842">
        <w:rPr>
          <w:rFonts w:ascii="Arial" w:hAnsi="Arial" w:hint="eastAsia"/>
          <w:b/>
          <w:i/>
          <w:kern w:val="0"/>
          <w:sz w:val="20"/>
          <w:szCs w:val="20"/>
        </w:rPr>
        <w:t>O</w:t>
      </w:r>
      <w:r w:rsidRPr="00E77842">
        <w:rPr>
          <w:rFonts w:ascii="Arial" w:hAnsi="Arial"/>
          <w:b/>
          <w:i/>
          <w:kern w:val="0"/>
          <w:sz w:val="20"/>
          <w:szCs w:val="20"/>
        </w:rPr>
        <w:t>bservation 1.</w:t>
      </w:r>
      <w:r w:rsidRPr="00E77842">
        <w:rPr>
          <w:rFonts w:ascii="Arial" w:hAnsi="Arial"/>
          <w:i/>
          <w:kern w:val="0"/>
          <w:sz w:val="20"/>
          <w:szCs w:val="20"/>
        </w:rPr>
        <w:t xml:space="preserve"> RLM/BFD on PSCell while the SCG is deactivated is only for RACH-less activation purpose.</w:t>
      </w:r>
    </w:p>
    <w:p w:rsidR="00536E9E" w:rsidRPr="002C6C08" w:rsidRDefault="00536E9E" w:rsidP="003E16F6">
      <w:pPr>
        <w:widowControl/>
        <w:spacing w:before="60" w:after="60" w:line="240" w:lineRule="atLeast"/>
        <w:rPr>
          <w:rFonts w:ascii="Arial" w:hAnsi="Arial"/>
          <w:b/>
          <w:kern w:val="0"/>
          <w:sz w:val="20"/>
          <w:szCs w:val="20"/>
        </w:rPr>
      </w:pPr>
    </w:p>
    <w:p w:rsidR="00536E9E" w:rsidRPr="002C6C08" w:rsidRDefault="00536E9E" w:rsidP="00536E9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discuss how frequent measurements are necessary for RLM for deactivated SCG. If necessary, RAN2 should consult with RAN4.</w:t>
      </w:r>
    </w:p>
    <w:p w:rsidR="003E16F6" w:rsidRPr="002C6C08" w:rsidRDefault="00536E9E" w:rsidP="008A4CB0">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If the network configures the UE to perform RLM and BFD for RACH-less activation purpose and the UE detects the SCG failure in deactivated SCG, the UE should report the SCG failure information via MCG.</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4C4D2F" w:rsidRPr="004C4D2F">
        <w:rPr>
          <w:rFonts w:ascii="Arial" w:eastAsia="Arial Unicode MS" w:hAnsi="Arial"/>
          <w:kern w:val="0"/>
          <w:sz w:val="20"/>
          <w:szCs w:val="20"/>
        </w:rPr>
        <w:t>R2-2108831</w:t>
      </w:r>
      <w:r w:rsidR="004C4D2F">
        <w:rPr>
          <w:rFonts w:ascii="Arial" w:eastAsia="Arial Unicode MS" w:hAnsi="Arial"/>
          <w:kern w:val="0"/>
          <w:sz w:val="20"/>
          <w:szCs w:val="20"/>
        </w:rPr>
        <w:t xml:space="preserve">, </w:t>
      </w:r>
      <w:r w:rsidR="004C4D2F" w:rsidRPr="004C4D2F">
        <w:rPr>
          <w:rFonts w:ascii="Arial" w:eastAsia="Arial Unicode MS" w:hAnsi="Arial"/>
          <w:kern w:val="0"/>
          <w:sz w:val="20"/>
          <w:szCs w:val="20"/>
        </w:rPr>
        <w:t>Report on LTE legacy, 71 GHz, DCCA, Multi-SIM and RAN slicing</w:t>
      </w:r>
    </w:p>
    <w:p w:rsidR="003E16F6" w:rsidRDefault="00FB4A1A" w:rsidP="003E16F6">
      <w:pPr>
        <w:widowControl/>
        <w:spacing w:line="240" w:lineRule="atLeast"/>
        <w:rPr>
          <w:rFonts w:ascii="Arial" w:hAnsi="Arial"/>
          <w:kern w:val="0"/>
          <w:sz w:val="20"/>
          <w:szCs w:val="20"/>
        </w:rPr>
      </w:pPr>
      <w:r>
        <w:rPr>
          <w:rFonts w:ascii="Arial" w:hAnsi="Arial" w:hint="eastAsia"/>
          <w:kern w:val="0"/>
          <w:sz w:val="20"/>
          <w:szCs w:val="20"/>
        </w:rPr>
        <w:t>[</w:t>
      </w:r>
      <w:r>
        <w:rPr>
          <w:rFonts w:ascii="Arial" w:hAnsi="Arial"/>
          <w:kern w:val="0"/>
          <w:sz w:val="20"/>
          <w:szCs w:val="20"/>
        </w:rPr>
        <w:t xml:space="preserve">2] </w:t>
      </w:r>
      <w:r w:rsidR="00582302">
        <w:rPr>
          <w:rFonts w:ascii="Arial" w:hAnsi="Arial"/>
          <w:kern w:val="0"/>
          <w:sz w:val="20"/>
          <w:szCs w:val="20"/>
        </w:rPr>
        <w:t xml:space="preserve">R2-210xxxx, </w:t>
      </w:r>
      <w:r w:rsidR="00582302" w:rsidRPr="00582302">
        <w:rPr>
          <w:rFonts w:ascii="Arial" w:hAnsi="Arial"/>
          <w:kern w:val="0"/>
          <w:sz w:val="20"/>
          <w:szCs w:val="20"/>
        </w:rPr>
        <w:t>[Post115-e][219][R17 DCCA] UE-initiated SCG activation (Huawei)</w:t>
      </w:r>
    </w:p>
    <w:p w:rsidR="00FB4A1A" w:rsidRPr="008A4CB0" w:rsidRDefault="00FB4A1A" w:rsidP="003E16F6">
      <w:pPr>
        <w:widowControl/>
        <w:spacing w:line="240" w:lineRule="atLeast"/>
        <w:rPr>
          <w:rFonts w:ascii="Arial"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2A4" w:rsidRDefault="00DD12A4" w:rsidP="005F4664">
      <w:r>
        <w:separator/>
      </w:r>
    </w:p>
  </w:endnote>
  <w:endnote w:type="continuationSeparator" w:id="0">
    <w:p w:rsidR="00DD12A4" w:rsidRDefault="00DD12A4"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2A4" w:rsidRDefault="00DD12A4" w:rsidP="005F4664">
      <w:r>
        <w:separator/>
      </w:r>
    </w:p>
  </w:footnote>
  <w:footnote w:type="continuationSeparator" w:id="0">
    <w:p w:rsidR="00DD12A4" w:rsidRDefault="00DD12A4"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706C7"/>
    <w:rsid w:val="000843D9"/>
    <w:rsid w:val="000A024E"/>
    <w:rsid w:val="0012039D"/>
    <w:rsid w:val="001310F8"/>
    <w:rsid w:val="0014169A"/>
    <w:rsid w:val="001504D8"/>
    <w:rsid w:val="0016588D"/>
    <w:rsid w:val="00183B0F"/>
    <w:rsid w:val="00195F93"/>
    <w:rsid w:val="001A2CF2"/>
    <w:rsid w:val="001C1521"/>
    <w:rsid w:val="001D6661"/>
    <w:rsid w:val="00232874"/>
    <w:rsid w:val="00233C46"/>
    <w:rsid w:val="00263ADC"/>
    <w:rsid w:val="0028555E"/>
    <w:rsid w:val="00297E8B"/>
    <w:rsid w:val="002A319C"/>
    <w:rsid w:val="002A7B1A"/>
    <w:rsid w:val="002B00BC"/>
    <w:rsid w:val="002E4305"/>
    <w:rsid w:val="00372116"/>
    <w:rsid w:val="00391CBE"/>
    <w:rsid w:val="003C391C"/>
    <w:rsid w:val="003D7863"/>
    <w:rsid w:val="003E16F6"/>
    <w:rsid w:val="003E5063"/>
    <w:rsid w:val="0040333B"/>
    <w:rsid w:val="00405266"/>
    <w:rsid w:val="00417F42"/>
    <w:rsid w:val="00485574"/>
    <w:rsid w:val="0049495A"/>
    <w:rsid w:val="004C4D2F"/>
    <w:rsid w:val="004D0B78"/>
    <w:rsid w:val="004F0F43"/>
    <w:rsid w:val="00504ABD"/>
    <w:rsid w:val="005147A4"/>
    <w:rsid w:val="00536E9E"/>
    <w:rsid w:val="005504EF"/>
    <w:rsid w:val="00582302"/>
    <w:rsid w:val="005E0A1F"/>
    <w:rsid w:val="005F4664"/>
    <w:rsid w:val="006010B7"/>
    <w:rsid w:val="00601B16"/>
    <w:rsid w:val="00630940"/>
    <w:rsid w:val="00631365"/>
    <w:rsid w:val="006736E7"/>
    <w:rsid w:val="006A48BF"/>
    <w:rsid w:val="006F1C23"/>
    <w:rsid w:val="00717247"/>
    <w:rsid w:val="0072723A"/>
    <w:rsid w:val="00731263"/>
    <w:rsid w:val="00734E0C"/>
    <w:rsid w:val="007479D9"/>
    <w:rsid w:val="00770315"/>
    <w:rsid w:val="00775A89"/>
    <w:rsid w:val="0078297D"/>
    <w:rsid w:val="007A2E9B"/>
    <w:rsid w:val="008335D0"/>
    <w:rsid w:val="008362F6"/>
    <w:rsid w:val="00850D14"/>
    <w:rsid w:val="008747DB"/>
    <w:rsid w:val="008823ED"/>
    <w:rsid w:val="008A4CB0"/>
    <w:rsid w:val="008C33CA"/>
    <w:rsid w:val="008D7675"/>
    <w:rsid w:val="00916EA2"/>
    <w:rsid w:val="009668AF"/>
    <w:rsid w:val="00980AFD"/>
    <w:rsid w:val="00991EB3"/>
    <w:rsid w:val="009A406E"/>
    <w:rsid w:val="009A7A9B"/>
    <w:rsid w:val="00A13EC8"/>
    <w:rsid w:val="00A27DB9"/>
    <w:rsid w:val="00A30ACB"/>
    <w:rsid w:val="00A34670"/>
    <w:rsid w:val="00A46EBC"/>
    <w:rsid w:val="00A47C94"/>
    <w:rsid w:val="00AA2B16"/>
    <w:rsid w:val="00AB158B"/>
    <w:rsid w:val="00AE5D8F"/>
    <w:rsid w:val="00AF1B7A"/>
    <w:rsid w:val="00AF7C73"/>
    <w:rsid w:val="00B26B13"/>
    <w:rsid w:val="00B34C85"/>
    <w:rsid w:val="00B609F2"/>
    <w:rsid w:val="00B66267"/>
    <w:rsid w:val="00B82082"/>
    <w:rsid w:val="00B82F1A"/>
    <w:rsid w:val="00B9710E"/>
    <w:rsid w:val="00BC74D7"/>
    <w:rsid w:val="00C0670F"/>
    <w:rsid w:val="00C4146E"/>
    <w:rsid w:val="00C5217D"/>
    <w:rsid w:val="00D176BC"/>
    <w:rsid w:val="00D23DAF"/>
    <w:rsid w:val="00D723C1"/>
    <w:rsid w:val="00D737C5"/>
    <w:rsid w:val="00D745CE"/>
    <w:rsid w:val="00D80CE3"/>
    <w:rsid w:val="00D840BE"/>
    <w:rsid w:val="00D936A2"/>
    <w:rsid w:val="00D97B0E"/>
    <w:rsid w:val="00DA7F92"/>
    <w:rsid w:val="00DC5F2A"/>
    <w:rsid w:val="00DD12A4"/>
    <w:rsid w:val="00E32A9C"/>
    <w:rsid w:val="00E864B6"/>
    <w:rsid w:val="00EA2016"/>
    <w:rsid w:val="00EB0333"/>
    <w:rsid w:val="00EC1DDA"/>
    <w:rsid w:val="00F13FD0"/>
    <w:rsid w:val="00F5142F"/>
    <w:rsid w:val="00F83DC7"/>
    <w:rsid w:val="00FA3970"/>
    <w:rsid w:val="00FB4A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Agreement">
    <w:name w:val="Agreement"/>
    <w:basedOn w:val="a"/>
    <w:next w:val="a"/>
    <w:uiPriority w:val="99"/>
    <w:qFormat/>
    <w:rsid w:val="00B82F1A"/>
    <w:pPr>
      <w:widowControl/>
      <w:numPr>
        <w:numId w:val="1"/>
      </w:numPr>
      <w:spacing w:before="60"/>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4515">
      <w:bodyDiv w:val="1"/>
      <w:marLeft w:val="0"/>
      <w:marRight w:val="0"/>
      <w:marTop w:val="0"/>
      <w:marBottom w:val="0"/>
      <w:divBdr>
        <w:top w:val="none" w:sz="0" w:space="0" w:color="auto"/>
        <w:left w:val="none" w:sz="0" w:space="0" w:color="auto"/>
        <w:bottom w:val="none" w:sz="0" w:space="0" w:color="auto"/>
        <w:right w:val="none" w:sz="0" w:space="0" w:color="auto"/>
      </w:divBdr>
    </w:div>
    <w:div w:id="167962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2</Pages>
  <Words>724</Words>
  <Characters>4128</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89</cp:revision>
  <dcterms:created xsi:type="dcterms:W3CDTF">2019-04-30T06:30:00Z</dcterms:created>
  <dcterms:modified xsi:type="dcterms:W3CDTF">2021-10-22T04:43:00Z</dcterms:modified>
</cp:coreProperties>
</file>